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04" w:rsidRPr="002847A5" w:rsidRDefault="00B31804" w:rsidP="00B31804">
      <w:pPr>
        <w:rPr>
          <w:sz w:val="20"/>
          <w:szCs w:val="20"/>
        </w:rPr>
      </w:pPr>
      <w:bookmarkStart w:id="0" w:name="_GoBack"/>
      <w:bookmarkEnd w:id="0"/>
      <w:r w:rsidRPr="002847A5">
        <w:rPr>
          <w:sz w:val="20"/>
          <w:szCs w:val="20"/>
        </w:rPr>
        <w:t>Town of Sardinia</w:t>
      </w:r>
    </w:p>
    <w:p w:rsidR="00B31804" w:rsidRPr="002847A5" w:rsidRDefault="00B31804" w:rsidP="00B31804">
      <w:pPr>
        <w:rPr>
          <w:sz w:val="20"/>
          <w:szCs w:val="20"/>
        </w:rPr>
      </w:pPr>
      <w:r w:rsidRPr="002847A5">
        <w:rPr>
          <w:sz w:val="20"/>
          <w:szCs w:val="20"/>
        </w:rPr>
        <w:t>Town Board Agenda</w:t>
      </w:r>
    </w:p>
    <w:p w:rsidR="00B31804" w:rsidRPr="002847A5" w:rsidRDefault="00B31804" w:rsidP="00B31804">
      <w:pPr>
        <w:rPr>
          <w:sz w:val="20"/>
          <w:szCs w:val="20"/>
        </w:rPr>
      </w:pPr>
    </w:p>
    <w:p w:rsidR="00B31804" w:rsidRPr="002847A5" w:rsidRDefault="00B31804" w:rsidP="00B31804">
      <w:pPr>
        <w:ind w:left="4320" w:firstLine="720"/>
        <w:rPr>
          <w:sz w:val="20"/>
          <w:szCs w:val="20"/>
        </w:rPr>
      </w:pPr>
      <w:r w:rsidRPr="002847A5">
        <w:rPr>
          <w:sz w:val="20"/>
          <w:szCs w:val="20"/>
        </w:rPr>
        <w:t>Town Board Proceedings</w:t>
      </w:r>
    </w:p>
    <w:p w:rsidR="00B31804" w:rsidRPr="002847A5" w:rsidRDefault="00B31804" w:rsidP="00B31804">
      <w:pPr>
        <w:ind w:left="4320" w:firstLine="720"/>
        <w:rPr>
          <w:sz w:val="20"/>
          <w:szCs w:val="20"/>
        </w:rPr>
      </w:pPr>
      <w:r>
        <w:rPr>
          <w:sz w:val="20"/>
          <w:szCs w:val="20"/>
        </w:rPr>
        <w:t>December 14, 2017</w:t>
      </w:r>
    </w:p>
    <w:p w:rsidR="00B31804" w:rsidRPr="002847A5" w:rsidRDefault="00B31804" w:rsidP="00B31804">
      <w:pPr>
        <w:ind w:left="5040"/>
        <w:rPr>
          <w:sz w:val="20"/>
          <w:szCs w:val="20"/>
        </w:rPr>
      </w:pPr>
      <w:r w:rsidRPr="002847A5">
        <w:rPr>
          <w:sz w:val="20"/>
          <w:szCs w:val="20"/>
        </w:rPr>
        <w:t xml:space="preserve">Regular Board Meeting - Scheduled time 6:30pm </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COUNCILMAN:</w:t>
      </w:r>
      <w:r w:rsidRPr="002847A5">
        <w:rPr>
          <w:sz w:val="20"/>
          <w:szCs w:val="20"/>
        </w:rPr>
        <w:tab/>
      </w:r>
      <w:r w:rsidRPr="002847A5">
        <w:rPr>
          <w:sz w:val="20"/>
          <w:szCs w:val="20"/>
        </w:rPr>
        <w:tab/>
      </w:r>
      <w:r w:rsidRPr="002847A5">
        <w:rPr>
          <w:sz w:val="20"/>
          <w:szCs w:val="20"/>
        </w:rPr>
        <w:tab/>
        <w:t>Douglas J. Morrell</w:t>
      </w:r>
    </w:p>
    <w:p w:rsidR="00B31804" w:rsidRPr="002847A5" w:rsidRDefault="00B31804" w:rsidP="00B31804">
      <w:pPr>
        <w:rPr>
          <w:sz w:val="20"/>
          <w:szCs w:val="20"/>
        </w:rPr>
      </w:pPr>
      <w:r w:rsidRPr="002847A5">
        <w:rPr>
          <w:sz w:val="20"/>
          <w:szCs w:val="20"/>
        </w:rPr>
        <w:t>COUNCILWOMAN:</w:t>
      </w:r>
      <w:r w:rsidRPr="002847A5">
        <w:rPr>
          <w:sz w:val="20"/>
          <w:szCs w:val="20"/>
        </w:rPr>
        <w:tab/>
      </w:r>
      <w:r w:rsidRPr="002847A5">
        <w:rPr>
          <w:sz w:val="20"/>
          <w:szCs w:val="20"/>
        </w:rPr>
        <w:tab/>
        <w:t>Mandy Quinn</w:t>
      </w:r>
    </w:p>
    <w:p w:rsidR="00B31804" w:rsidRPr="002847A5" w:rsidRDefault="00B31804" w:rsidP="00B31804">
      <w:pPr>
        <w:rPr>
          <w:sz w:val="20"/>
          <w:szCs w:val="20"/>
        </w:rPr>
      </w:pPr>
      <w:r w:rsidRPr="002847A5">
        <w:rPr>
          <w:sz w:val="20"/>
          <w:szCs w:val="20"/>
        </w:rPr>
        <w:t>COUNCILMAN:</w:t>
      </w:r>
      <w:r w:rsidRPr="002847A5">
        <w:rPr>
          <w:sz w:val="20"/>
          <w:szCs w:val="20"/>
        </w:rPr>
        <w:tab/>
      </w:r>
      <w:r w:rsidRPr="002847A5">
        <w:rPr>
          <w:sz w:val="20"/>
          <w:szCs w:val="20"/>
        </w:rPr>
        <w:tab/>
      </w:r>
      <w:r w:rsidRPr="002847A5">
        <w:rPr>
          <w:sz w:val="20"/>
          <w:szCs w:val="20"/>
        </w:rPr>
        <w:tab/>
        <w:t>Len Hochadel</w:t>
      </w:r>
    </w:p>
    <w:p w:rsidR="00B31804" w:rsidRPr="002847A5" w:rsidRDefault="00B31804" w:rsidP="00B31804">
      <w:pPr>
        <w:rPr>
          <w:sz w:val="20"/>
          <w:szCs w:val="20"/>
        </w:rPr>
      </w:pPr>
      <w:r w:rsidRPr="002847A5">
        <w:rPr>
          <w:sz w:val="20"/>
          <w:szCs w:val="20"/>
        </w:rPr>
        <w:t>COUNCILWOMAN:</w:t>
      </w:r>
      <w:r w:rsidRPr="002847A5">
        <w:rPr>
          <w:sz w:val="20"/>
          <w:szCs w:val="20"/>
        </w:rPr>
        <w:tab/>
      </w:r>
      <w:r w:rsidRPr="002847A5">
        <w:rPr>
          <w:sz w:val="20"/>
          <w:szCs w:val="20"/>
        </w:rPr>
        <w:tab/>
        <w:t>Cheryl L. Earl</w:t>
      </w:r>
    </w:p>
    <w:p w:rsidR="00B31804" w:rsidRPr="002847A5" w:rsidRDefault="00B31804" w:rsidP="00B31804">
      <w:pPr>
        <w:rPr>
          <w:sz w:val="20"/>
          <w:szCs w:val="20"/>
        </w:rPr>
      </w:pPr>
      <w:r w:rsidRPr="002847A5">
        <w:rPr>
          <w:sz w:val="20"/>
          <w:szCs w:val="20"/>
        </w:rPr>
        <w:t>SUPERVISOR</w:t>
      </w:r>
      <w:r w:rsidRPr="002847A5">
        <w:rPr>
          <w:sz w:val="20"/>
          <w:szCs w:val="20"/>
        </w:rPr>
        <w:tab/>
      </w:r>
      <w:r w:rsidRPr="002847A5">
        <w:rPr>
          <w:sz w:val="20"/>
          <w:szCs w:val="20"/>
        </w:rPr>
        <w:tab/>
      </w:r>
      <w:r w:rsidRPr="002847A5">
        <w:rPr>
          <w:sz w:val="20"/>
          <w:szCs w:val="20"/>
        </w:rPr>
        <w:tab/>
        <w:t>Beverly Gambino</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Others present</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TOWN CLERK</w:t>
      </w:r>
      <w:r w:rsidRPr="002847A5">
        <w:rPr>
          <w:sz w:val="20"/>
          <w:szCs w:val="20"/>
        </w:rPr>
        <w:tab/>
      </w:r>
      <w:r w:rsidRPr="002847A5">
        <w:rPr>
          <w:sz w:val="20"/>
          <w:szCs w:val="20"/>
        </w:rPr>
        <w:tab/>
      </w:r>
      <w:r w:rsidRPr="002847A5">
        <w:rPr>
          <w:sz w:val="20"/>
          <w:szCs w:val="20"/>
        </w:rPr>
        <w:tab/>
      </w:r>
      <w:r w:rsidRPr="002847A5">
        <w:rPr>
          <w:sz w:val="20"/>
          <w:szCs w:val="20"/>
        </w:rPr>
        <w:tab/>
        <w:t>Jennifer L. Bray</w:t>
      </w:r>
    </w:p>
    <w:p w:rsidR="00B31804" w:rsidRPr="002847A5" w:rsidRDefault="00B31804" w:rsidP="00B31804">
      <w:pPr>
        <w:rPr>
          <w:sz w:val="20"/>
          <w:szCs w:val="20"/>
        </w:rPr>
      </w:pPr>
      <w:r w:rsidRPr="002847A5">
        <w:rPr>
          <w:sz w:val="20"/>
          <w:szCs w:val="20"/>
        </w:rPr>
        <w:t>HWY SUPERINTENDENT</w:t>
      </w:r>
      <w:r w:rsidRPr="002847A5">
        <w:rPr>
          <w:sz w:val="20"/>
          <w:szCs w:val="20"/>
        </w:rPr>
        <w:tab/>
      </w:r>
      <w:r w:rsidRPr="002847A5">
        <w:rPr>
          <w:sz w:val="20"/>
          <w:szCs w:val="20"/>
        </w:rPr>
        <w:tab/>
        <w:t>Donald Hopkins</w:t>
      </w:r>
    </w:p>
    <w:p w:rsidR="00B31804" w:rsidRPr="002847A5" w:rsidRDefault="00B31804" w:rsidP="00B31804">
      <w:pPr>
        <w:rPr>
          <w:sz w:val="20"/>
          <w:szCs w:val="20"/>
        </w:rPr>
      </w:pPr>
      <w:r w:rsidRPr="002847A5">
        <w:rPr>
          <w:sz w:val="20"/>
          <w:szCs w:val="20"/>
        </w:rPr>
        <w:t>TOWN ATTORNEY</w:t>
      </w:r>
      <w:r w:rsidRPr="002847A5">
        <w:rPr>
          <w:sz w:val="20"/>
          <w:szCs w:val="20"/>
        </w:rPr>
        <w:tab/>
      </w:r>
      <w:r w:rsidRPr="002847A5">
        <w:rPr>
          <w:sz w:val="20"/>
          <w:szCs w:val="20"/>
        </w:rPr>
        <w:tab/>
      </w:r>
      <w:r w:rsidRPr="002847A5">
        <w:rPr>
          <w:sz w:val="20"/>
          <w:szCs w:val="20"/>
        </w:rPr>
        <w:tab/>
        <w:t xml:space="preserve">Joel R. </w:t>
      </w:r>
      <w:proofErr w:type="spellStart"/>
      <w:r w:rsidRPr="002847A5">
        <w:rPr>
          <w:sz w:val="20"/>
          <w:szCs w:val="20"/>
        </w:rPr>
        <w:t>Kurtzhalts</w:t>
      </w:r>
      <w:proofErr w:type="spellEnd"/>
      <w:r w:rsidRPr="002847A5">
        <w:rPr>
          <w:sz w:val="20"/>
          <w:szCs w:val="20"/>
        </w:rPr>
        <w:t>, Esq.</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Meeting called to order by Supervisor Gambino at ___________________pm</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Roll Call</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Pledge of Allegiance</w:t>
      </w:r>
    </w:p>
    <w:p w:rsidR="00B31804" w:rsidRPr="002847A5" w:rsidRDefault="00B31804" w:rsidP="00B31804">
      <w:pPr>
        <w:rPr>
          <w:sz w:val="20"/>
          <w:szCs w:val="20"/>
        </w:rPr>
      </w:pPr>
    </w:p>
    <w:p w:rsidR="00B31804" w:rsidRPr="002847A5" w:rsidRDefault="00B31804" w:rsidP="00B31804">
      <w:pPr>
        <w:rPr>
          <w:sz w:val="20"/>
          <w:szCs w:val="20"/>
        </w:rPr>
      </w:pPr>
      <w:r w:rsidRPr="002847A5">
        <w:rPr>
          <w:sz w:val="20"/>
          <w:szCs w:val="20"/>
        </w:rPr>
        <w:t xml:space="preserve">Moment of Silence </w:t>
      </w:r>
    </w:p>
    <w:p w:rsidR="00B31804" w:rsidRPr="002847A5" w:rsidRDefault="00B31804" w:rsidP="00B31804">
      <w:pPr>
        <w:rPr>
          <w:sz w:val="28"/>
          <w:szCs w:val="28"/>
        </w:rPr>
      </w:pPr>
    </w:p>
    <w:p w:rsidR="00B31804" w:rsidRPr="002847A5" w:rsidRDefault="00B31804" w:rsidP="00B31804">
      <w:pPr>
        <w:rPr>
          <w:color w:val="C00000"/>
        </w:rPr>
      </w:pPr>
      <w:r w:rsidRPr="002847A5">
        <w:rPr>
          <w:color w:val="C00000"/>
        </w:rPr>
        <w:t>Approval of Minute</w:t>
      </w:r>
    </w:p>
    <w:p w:rsidR="00B31804" w:rsidRPr="002847A5" w:rsidRDefault="00B31804" w:rsidP="00B31804">
      <w:pPr>
        <w:rPr>
          <w:color w:val="C00000"/>
        </w:rPr>
      </w:pPr>
    </w:p>
    <w:p w:rsidR="00B31804" w:rsidRDefault="00B31804" w:rsidP="00AA2A2F">
      <w:pPr>
        <w:numPr>
          <w:ilvl w:val="0"/>
          <w:numId w:val="1"/>
        </w:numPr>
        <w:outlineLvl w:val="9"/>
        <w:rPr>
          <w:sz w:val="20"/>
          <w:szCs w:val="20"/>
        </w:rPr>
      </w:pPr>
      <w:r w:rsidRPr="002847A5">
        <w:rPr>
          <w:sz w:val="20"/>
          <w:szCs w:val="20"/>
        </w:rPr>
        <w:t>Re</w:t>
      </w:r>
      <w:r w:rsidR="00AA2A2F">
        <w:rPr>
          <w:sz w:val="20"/>
          <w:szCs w:val="20"/>
        </w:rPr>
        <w:t xml:space="preserve">gular Board Meeting – November </w:t>
      </w:r>
      <w:r w:rsidR="00054F23">
        <w:rPr>
          <w:sz w:val="20"/>
          <w:szCs w:val="20"/>
        </w:rPr>
        <w:t>9</w:t>
      </w:r>
      <w:r w:rsidR="00054F23" w:rsidRPr="00054F23">
        <w:rPr>
          <w:sz w:val="20"/>
          <w:szCs w:val="20"/>
          <w:vertAlign w:val="superscript"/>
        </w:rPr>
        <w:t>th</w:t>
      </w:r>
      <w:r w:rsidR="00054F23">
        <w:rPr>
          <w:sz w:val="20"/>
          <w:szCs w:val="20"/>
        </w:rPr>
        <w:t xml:space="preserve"> 2017</w:t>
      </w:r>
    </w:p>
    <w:p w:rsidR="00054F23" w:rsidRPr="00AA2A2F" w:rsidRDefault="00054F23" w:rsidP="00AA2A2F">
      <w:pPr>
        <w:numPr>
          <w:ilvl w:val="0"/>
          <w:numId w:val="1"/>
        </w:numPr>
        <w:outlineLvl w:val="9"/>
        <w:rPr>
          <w:sz w:val="20"/>
          <w:szCs w:val="20"/>
        </w:rPr>
      </w:pPr>
      <w:r>
        <w:rPr>
          <w:sz w:val="20"/>
          <w:szCs w:val="20"/>
        </w:rPr>
        <w:t>Public Hearing on 2018 Town Budget</w:t>
      </w:r>
    </w:p>
    <w:p w:rsidR="00B31804" w:rsidRPr="002847A5" w:rsidRDefault="00B31804" w:rsidP="00B31804">
      <w:pPr>
        <w:ind w:left="1080"/>
        <w:outlineLvl w:val="9"/>
        <w:rPr>
          <w:sz w:val="20"/>
          <w:szCs w:val="20"/>
        </w:rPr>
      </w:pPr>
    </w:p>
    <w:p w:rsidR="00054F23" w:rsidRPr="002847A5" w:rsidRDefault="00B31804" w:rsidP="00B31804">
      <w:pPr>
        <w:rPr>
          <w:color w:val="C00000"/>
        </w:rPr>
      </w:pPr>
      <w:r w:rsidRPr="002847A5">
        <w:rPr>
          <w:color w:val="C00000"/>
        </w:rPr>
        <w:t>Approval of Bills</w:t>
      </w:r>
    </w:p>
    <w:p w:rsidR="00B31804" w:rsidRPr="002847A5" w:rsidRDefault="00B31804" w:rsidP="00B31804">
      <w:pPr>
        <w:spacing w:after="160" w:line="252" w:lineRule="auto"/>
        <w:ind w:left="1260"/>
        <w:contextualSpacing/>
        <w:outlineLvl w:val="9"/>
        <w:rPr>
          <w:rFonts w:eastAsiaTheme="minorHAnsi"/>
          <w:sz w:val="16"/>
          <w:szCs w:val="16"/>
        </w:rPr>
      </w:pPr>
    </w:p>
    <w:p w:rsidR="00B31804" w:rsidRPr="00505965" w:rsidRDefault="00B31804" w:rsidP="00B31804">
      <w:pPr>
        <w:ind w:left="720"/>
        <w:contextualSpacing/>
        <w:rPr>
          <w:color w:val="FF0000"/>
          <w:sz w:val="16"/>
          <w:szCs w:val="16"/>
        </w:rPr>
      </w:pPr>
      <w:r w:rsidRPr="00505965">
        <w:rPr>
          <w:color w:val="FF0000"/>
          <w:sz w:val="16"/>
          <w:szCs w:val="16"/>
        </w:rPr>
        <w:t>Monthly Committee Department Reports</w:t>
      </w:r>
      <w:r w:rsidR="00054F23">
        <w:rPr>
          <w:color w:val="FF0000"/>
          <w:sz w:val="16"/>
          <w:szCs w:val="16"/>
        </w:rPr>
        <w:tab/>
      </w:r>
      <w:r w:rsidR="00054F23">
        <w:rPr>
          <w:color w:val="FF0000"/>
          <w:sz w:val="16"/>
          <w:szCs w:val="16"/>
        </w:rPr>
        <w:tab/>
      </w:r>
    </w:p>
    <w:p w:rsidR="00B31804" w:rsidRPr="00254D9C" w:rsidRDefault="00B31804" w:rsidP="00B31804">
      <w:pPr>
        <w:ind w:left="1440"/>
        <w:rPr>
          <w:rFonts w:asciiTheme="minorHAnsi" w:eastAsiaTheme="minorHAnsi" w:hAnsiTheme="minorHAnsi" w:cstheme="minorBidi"/>
          <w:sz w:val="16"/>
          <w:szCs w:val="16"/>
        </w:rPr>
      </w:pPr>
      <w:r w:rsidRPr="00254D9C">
        <w:rPr>
          <w:sz w:val="16"/>
          <w:szCs w:val="16"/>
        </w:rPr>
        <w:t>COMMITTEES AND LIASONS</w:t>
      </w:r>
    </w:p>
    <w:p w:rsidR="00B31804" w:rsidRPr="00254D9C" w:rsidRDefault="00B31804" w:rsidP="00B31804">
      <w:pPr>
        <w:spacing w:after="160" w:line="252" w:lineRule="auto"/>
        <w:ind w:left="1080" w:firstLine="180"/>
        <w:contextualSpacing/>
        <w:outlineLvl w:val="9"/>
        <w:rPr>
          <w:rFonts w:eastAsiaTheme="minorHAnsi"/>
          <w:b/>
          <w:color w:val="C00000"/>
          <w:sz w:val="16"/>
          <w:szCs w:val="16"/>
        </w:rPr>
      </w:pPr>
      <w:r w:rsidRPr="00254D9C">
        <w:rPr>
          <w:rFonts w:eastAsiaTheme="minorHAnsi"/>
          <w:sz w:val="16"/>
          <w:szCs w:val="16"/>
        </w:rPr>
        <w:t>Personnel/Administration</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Beverly/Len</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Finance/Planning &amp; Economic Development</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Beverly/Len</w:t>
      </w:r>
    </w:p>
    <w:p w:rsidR="00B31804" w:rsidRPr="00254D9C" w:rsidRDefault="00B31804" w:rsidP="00B31804">
      <w:pPr>
        <w:spacing w:after="160" w:line="252" w:lineRule="auto"/>
        <w:ind w:left="720" w:firstLine="540"/>
        <w:contextualSpacing/>
        <w:outlineLvl w:val="9"/>
        <w:rPr>
          <w:rFonts w:eastAsiaTheme="minorHAnsi"/>
          <w:b/>
          <w:sz w:val="16"/>
          <w:szCs w:val="16"/>
        </w:rPr>
      </w:pPr>
      <w:r w:rsidRPr="00254D9C">
        <w:rPr>
          <w:rFonts w:eastAsiaTheme="minorHAnsi"/>
          <w:sz w:val="16"/>
          <w:szCs w:val="16"/>
        </w:rPr>
        <w:t>Security and Disaster Preparedness</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Gerard Whittington</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Public Safety (Constable, Building Code</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Doug/Gerald Whittington</w:t>
      </w:r>
    </w:p>
    <w:p w:rsidR="00B31804" w:rsidRPr="00254D9C" w:rsidRDefault="00B31804" w:rsidP="00B31804">
      <w:pPr>
        <w:spacing w:after="160"/>
        <w:ind w:left="1260"/>
        <w:contextualSpacing/>
        <w:outlineLvl w:val="9"/>
        <w:rPr>
          <w:rFonts w:eastAsiaTheme="minorHAnsi"/>
          <w:sz w:val="16"/>
          <w:szCs w:val="16"/>
        </w:rPr>
      </w:pPr>
      <w:r w:rsidRPr="00254D9C">
        <w:rPr>
          <w:rFonts w:eastAsiaTheme="minorHAnsi"/>
          <w:sz w:val="16"/>
          <w:szCs w:val="16"/>
        </w:rPr>
        <w:t>Enforcement, Animal Control)</w:t>
      </w:r>
    </w:p>
    <w:p w:rsidR="00B31804" w:rsidRPr="00254D9C" w:rsidRDefault="00B31804" w:rsidP="00B31804">
      <w:pPr>
        <w:spacing w:after="160" w:line="252" w:lineRule="auto"/>
        <w:ind w:left="720" w:firstLine="540"/>
        <w:contextualSpacing/>
        <w:outlineLvl w:val="9"/>
        <w:rPr>
          <w:rFonts w:eastAsiaTheme="minorHAnsi"/>
          <w:b/>
          <w:sz w:val="16"/>
          <w:szCs w:val="16"/>
        </w:rPr>
      </w:pPr>
      <w:r w:rsidRPr="00254D9C">
        <w:rPr>
          <w:rFonts w:eastAsiaTheme="minorHAnsi"/>
          <w:sz w:val="16"/>
          <w:szCs w:val="16"/>
        </w:rPr>
        <w:t>Building &amp; Capital Projects –Town Hall</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Beverly/Len</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Parks</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Cheryl/Mandy</w:t>
      </w:r>
    </w:p>
    <w:p w:rsidR="00B31804" w:rsidRPr="00254D9C" w:rsidRDefault="00B31804" w:rsidP="00B31804">
      <w:pPr>
        <w:spacing w:after="160" w:line="252" w:lineRule="auto"/>
        <w:ind w:left="900" w:firstLine="360"/>
        <w:contextualSpacing/>
        <w:outlineLvl w:val="9"/>
        <w:rPr>
          <w:rFonts w:eastAsiaTheme="minorHAnsi"/>
          <w:b/>
          <w:sz w:val="16"/>
          <w:szCs w:val="16"/>
        </w:rPr>
      </w:pPr>
      <w:r w:rsidRPr="00254D9C">
        <w:rPr>
          <w:rFonts w:eastAsiaTheme="minorHAnsi"/>
          <w:sz w:val="16"/>
          <w:szCs w:val="16"/>
        </w:rPr>
        <w:t>Highway</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Len/Mandy</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Recreation/Youth</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Chris Warner/Mandy</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Community Events/Celebrations</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Len</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Community Service</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Len/Mandy</w:t>
      </w:r>
    </w:p>
    <w:p w:rsidR="00B31804" w:rsidRPr="00254D9C" w:rsidRDefault="00B31804" w:rsidP="00B31804">
      <w:pPr>
        <w:spacing w:after="160" w:line="252" w:lineRule="auto"/>
        <w:ind w:left="540" w:firstLine="720"/>
        <w:contextualSpacing/>
        <w:outlineLvl w:val="9"/>
        <w:rPr>
          <w:rFonts w:eastAsiaTheme="minorHAnsi"/>
          <w:b/>
          <w:sz w:val="16"/>
          <w:szCs w:val="16"/>
        </w:rPr>
      </w:pPr>
      <w:r w:rsidRPr="00254D9C">
        <w:rPr>
          <w:rFonts w:eastAsiaTheme="minorHAnsi"/>
          <w:sz w:val="16"/>
          <w:szCs w:val="16"/>
        </w:rPr>
        <w:t>Senior Citizens and Programs</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Len/Doug</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Environmental Committee Landfill/Mining</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Doug/Len</w:t>
      </w:r>
    </w:p>
    <w:p w:rsidR="00B31804" w:rsidRPr="00254D9C" w:rsidRDefault="00B31804" w:rsidP="00B31804">
      <w:pPr>
        <w:spacing w:after="160" w:line="252" w:lineRule="auto"/>
        <w:ind w:left="1260"/>
        <w:contextualSpacing/>
        <w:outlineLvl w:val="9"/>
        <w:rPr>
          <w:rFonts w:eastAsiaTheme="minorHAnsi"/>
          <w:b/>
          <w:color w:val="000000" w:themeColor="text1"/>
          <w:sz w:val="16"/>
          <w:szCs w:val="16"/>
        </w:rPr>
      </w:pPr>
      <w:r w:rsidRPr="00254D9C">
        <w:rPr>
          <w:rFonts w:eastAsiaTheme="minorHAnsi"/>
          <w:sz w:val="16"/>
          <w:szCs w:val="16"/>
        </w:rPr>
        <w:t>Liaison to Fire Company</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color w:val="000000" w:themeColor="text1"/>
          <w:sz w:val="16"/>
          <w:szCs w:val="16"/>
        </w:rPr>
        <w:t>Beverly/Doug</w:t>
      </w:r>
    </w:p>
    <w:p w:rsidR="00B31804" w:rsidRPr="00254D9C" w:rsidRDefault="00B31804" w:rsidP="00B31804">
      <w:pPr>
        <w:spacing w:after="160" w:line="252" w:lineRule="auto"/>
        <w:ind w:left="540" w:firstLine="720"/>
        <w:contextualSpacing/>
        <w:outlineLvl w:val="9"/>
        <w:rPr>
          <w:rFonts w:eastAsiaTheme="minorHAnsi"/>
          <w:b/>
          <w:sz w:val="16"/>
          <w:szCs w:val="16"/>
        </w:rPr>
      </w:pPr>
      <w:r w:rsidRPr="00254D9C">
        <w:rPr>
          <w:rFonts w:eastAsiaTheme="minorHAnsi"/>
          <w:sz w:val="16"/>
          <w:szCs w:val="16"/>
        </w:rPr>
        <w:t>Liaison to Veterans</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Beverly</w:t>
      </w:r>
    </w:p>
    <w:p w:rsidR="00B31804" w:rsidRPr="00254D9C" w:rsidRDefault="00B31804" w:rsidP="00B31804">
      <w:pPr>
        <w:spacing w:after="160" w:line="252" w:lineRule="auto"/>
        <w:ind w:left="1260"/>
        <w:contextualSpacing/>
        <w:outlineLvl w:val="9"/>
        <w:rPr>
          <w:rFonts w:eastAsiaTheme="minorHAnsi"/>
          <w:b/>
          <w:sz w:val="16"/>
          <w:szCs w:val="16"/>
        </w:rPr>
      </w:pPr>
      <w:r w:rsidRPr="00254D9C">
        <w:rPr>
          <w:rFonts w:eastAsiaTheme="minorHAnsi"/>
          <w:sz w:val="16"/>
          <w:szCs w:val="16"/>
        </w:rPr>
        <w:t>Water Evaluation Committee</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 xml:space="preserve">Beverly/Len        </w:t>
      </w:r>
    </w:p>
    <w:p w:rsidR="00B31804" w:rsidRPr="00254D9C" w:rsidRDefault="00B31804" w:rsidP="00B31804">
      <w:pPr>
        <w:spacing w:after="160" w:line="252" w:lineRule="auto"/>
        <w:ind w:left="1260"/>
        <w:contextualSpacing/>
        <w:outlineLvl w:val="9"/>
        <w:rPr>
          <w:rFonts w:eastAsiaTheme="minorHAnsi"/>
          <w:sz w:val="16"/>
          <w:szCs w:val="16"/>
        </w:rPr>
      </w:pPr>
      <w:r w:rsidRPr="00254D9C">
        <w:rPr>
          <w:rFonts w:eastAsiaTheme="minorHAnsi"/>
          <w:sz w:val="16"/>
          <w:szCs w:val="16"/>
        </w:rPr>
        <w:t>Street Lighting</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Mandy</w:t>
      </w:r>
    </w:p>
    <w:p w:rsidR="00054F23" w:rsidRDefault="00B31804" w:rsidP="00B31804">
      <w:pPr>
        <w:spacing w:after="160" w:line="252" w:lineRule="auto"/>
        <w:ind w:left="1260"/>
        <w:contextualSpacing/>
        <w:outlineLvl w:val="9"/>
        <w:rPr>
          <w:rFonts w:eastAsiaTheme="minorHAnsi"/>
          <w:sz w:val="16"/>
          <w:szCs w:val="16"/>
        </w:rPr>
      </w:pPr>
      <w:r w:rsidRPr="00254D9C">
        <w:rPr>
          <w:rFonts w:eastAsiaTheme="minorHAnsi"/>
          <w:sz w:val="16"/>
          <w:szCs w:val="16"/>
        </w:rPr>
        <w:t>Energy</w:t>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r>
      <w:r w:rsidRPr="00254D9C">
        <w:rPr>
          <w:rFonts w:eastAsiaTheme="minorHAnsi"/>
          <w:sz w:val="16"/>
          <w:szCs w:val="16"/>
        </w:rPr>
        <w:tab/>
        <w:t>Len/Cheryl</w:t>
      </w:r>
    </w:p>
    <w:p w:rsidR="00054F23" w:rsidRDefault="00054F23" w:rsidP="00B31804">
      <w:pPr>
        <w:spacing w:after="160" w:line="252" w:lineRule="auto"/>
        <w:ind w:left="1260"/>
        <w:contextualSpacing/>
        <w:outlineLvl w:val="9"/>
        <w:rPr>
          <w:rFonts w:eastAsiaTheme="minorHAnsi"/>
          <w:sz w:val="16"/>
          <w:szCs w:val="16"/>
        </w:rPr>
      </w:pPr>
    </w:p>
    <w:p w:rsidR="00054F23" w:rsidRDefault="00054F23" w:rsidP="00B31804">
      <w:pPr>
        <w:spacing w:after="160" w:line="252" w:lineRule="auto"/>
        <w:ind w:left="1260"/>
        <w:contextualSpacing/>
        <w:outlineLvl w:val="9"/>
        <w:rPr>
          <w:rFonts w:eastAsiaTheme="minorHAnsi"/>
          <w:sz w:val="16"/>
          <w:szCs w:val="16"/>
        </w:rPr>
      </w:pPr>
    </w:p>
    <w:p w:rsidR="00B31804" w:rsidRDefault="00B31804" w:rsidP="00B31804">
      <w:pPr>
        <w:spacing w:after="160" w:line="252" w:lineRule="auto"/>
        <w:ind w:left="720" w:firstLine="720"/>
        <w:contextualSpacing/>
        <w:outlineLvl w:val="9"/>
        <w:rPr>
          <w:rFonts w:eastAsiaTheme="minorHAnsi"/>
          <w:b/>
          <w:bCs/>
          <w:sz w:val="22"/>
          <w:szCs w:val="22"/>
        </w:rPr>
      </w:pPr>
      <w:r w:rsidRPr="00254D9C">
        <w:rPr>
          <w:rFonts w:eastAsiaTheme="minorHAnsi"/>
          <w:b/>
          <w:bCs/>
          <w:sz w:val="22"/>
          <w:szCs w:val="22"/>
        </w:rPr>
        <w:t>Report from Highway Superintendent Donald Hopkins</w:t>
      </w:r>
    </w:p>
    <w:p w:rsidR="00054F23" w:rsidRDefault="00054F23" w:rsidP="00B31804">
      <w:pPr>
        <w:spacing w:after="160" w:line="252" w:lineRule="auto"/>
        <w:ind w:left="720" w:firstLine="720"/>
        <w:contextualSpacing/>
        <w:outlineLvl w:val="9"/>
        <w:rPr>
          <w:rFonts w:eastAsiaTheme="minorHAnsi"/>
          <w:b/>
          <w:bCs/>
          <w:sz w:val="22"/>
          <w:szCs w:val="22"/>
        </w:rPr>
      </w:pPr>
    </w:p>
    <w:p w:rsidR="00B31804" w:rsidRPr="002847A5" w:rsidRDefault="00B31804" w:rsidP="00B31804">
      <w:pPr>
        <w:spacing w:after="160" w:line="252" w:lineRule="auto"/>
        <w:contextualSpacing/>
        <w:outlineLvl w:val="9"/>
        <w:rPr>
          <w:rFonts w:eastAsiaTheme="minorHAnsi"/>
          <w:bCs/>
          <w:color w:val="C00000"/>
          <w:sz w:val="22"/>
          <w:szCs w:val="22"/>
        </w:rPr>
      </w:pPr>
      <w:r w:rsidRPr="002847A5">
        <w:rPr>
          <w:rFonts w:eastAsiaTheme="minorHAnsi"/>
          <w:bCs/>
          <w:color w:val="C00000"/>
          <w:sz w:val="22"/>
          <w:szCs w:val="22"/>
        </w:rPr>
        <w:lastRenderedPageBreak/>
        <w:t>Public Comment Period</w:t>
      </w:r>
    </w:p>
    <w:p w:rsidR="00B31804" w:rsidRPr="002847A5" w:rsidRDefault="00B31804" w:rsidP="00B31804">
      <w:pPr>
        <w:spacing w:after="160" w:line="252" w:lineRule="auto"/>
        <w:contextualSpacing/>
        <w:outlineLvl w:val="9"/>
        <w:rPr>
          <w:rFonts w:eastAsiaTheme="minorHAnsi"/>
          <w:b/>
          <w:bCs/>
          <w:sz w:val="22"/>
          <w:szCs w:val="22"/>
        </w:rPr>
      </w:pPr>
    </w:p>
    <w:p w:rsidR="00B31804" w:rsidRPr="002847A5" w:rsidRDefault="00B31804" w:rsidP="00B31804">
      <w:pPr>
        <w:spacing w:after="160" w:line="252" w:lineRule="auto"/>
        <w:ind w:left="720" w:firstLine="720"/>
        <w:contextualSpacing/>
        <w:outlineLvl w:val="9"/>
        <w:rPr>
          <w:rFonts w:eastAsiaTheme="minorHAnsi"/>
          <w:b/>
          <w:bCs/>
          <w:sz w:val="22"/>
          <w:szCs w:val="22"/>
        </w:rPr>
      </w:pPr>
    </w:p>
    <w:p w:rsidR="00B31804" w:rsidRDefault="00B31804" w:rsidP="00B31804">
      <w:pPr>
        <w:rPr>
          <w:rFonts w:eastAsiaTheme="minorHAnsi"/>
          <w:bCs/>
          <w:color w:val="C00000"/>
          <w:sz w:val="22"/>
          <w:szCs w:val="22"/>
        </w:rPr>
      </w:pPr>
      <w:r>
        <w:rPr>
          <w:rFonts w:eastAsiaTheme="minorHAnsi"/>
          <w:bCs/>
          <w:color w:val="C00000"/>
          <w:sz w:val="22"/>
          <w:szCs w:val="22"/>
        </w:rPr>
        <w:t>O</w:t>
      </w:r>
      <w:r w:rsidRPr="002847A5">
        <w:rPr>
          <w:rFonts w:eastAsiaTheme="minorHAnsi"/>
          <w:bCs/>
          <w:color w:val="C00000"/>
          <w:sz w:val="22"/>
          <w:szCs w:val="22"/>
        </w:rPr>
        <w:t>ld Business</w:t>
      </w:r>
    </w:p>
    <w:p w:rsidR="00AE7136" w:rsidRDefault="00AE7136" w:rsidP="00B31804">
      <w:pPr>
        <w:rPr>
          <w:rFonts w:eastAsiaTheme="minorHAnsi"/>
          <w:bCs/>
          <w:color w:val="C00000"/>
          <w:sz w:val="22"/>
          <w:szCs w:val="22"/>
        </w:rPr>
      </w:pPr>
    </w:p>
    <w:p w:rsidR="00AE7136" w:rsidRDefault="00AE7136" w:rsidP="00B31804">
      <w:pPr>
        <w:rPr>
          <w:rFonts w:eastAsiaTheme="minorHAnsi"/>
          <w:bCs/>
          <w:color w:val="C00000"/>
          <w:sz w:val="22"/>
          <w:szCs w:val="22"/>
        </w:rPr>
      </w:pPr>
    </w:p>
    <w:p w:rsidR="00B31804" w:rsidRDefault="00B31804" w:rsidP="00B31804">
      <w:pPr>
        <w:rPr>
          <w:rFonts w:eastAsiaTheme="minorHAnsi"/>
          <w:bCs/>
          <w:color w:val="C00000"/>
          <w:sz w:val="22"/>
          <w:szCs w:val="22"/>
        </w:rPr>
      </w:pPr>
    </w:p>
    <w:p w:rsidR="00B31804" w:rsidRDefault="00B31804" w:rsidP="00B31804">
      <w:pPr>
        <w:rPr>
          <w:rFonts w:eastAsiaTheme="minorHAnsi"/>
          <w:bCs/>
          <w:color w:val="C00000"/>
          <w:sz w:val="22"/>
          <w:szCs w:val="22"/>
        </w:rPr>
      </w:pPr>
    </w:p>
    <w:p w:rsidR="003A472E" w:rsidRPr="00AE7136" w:rsidRDefault="003A472E" w:rsidP="003A472E">
      <w:pPr>
        <w:ind w:left="720"/>
        <w:contextualSpacing/>
        <w:jc w:val="center"/>
        <w:rPr>
          <w:b/>
          <w:sz w:val="22"/>
          <w:szCs w:val="22"/>
        </w:rPr>
      </w:pPr>
      <w:r w:rsidRPr="00AE7136">
        <w:rPr>
          <w:b/>
          <w:sz w:val="22"/>
          <w:szCs w:val="22"/>
        </w:rPr>
        <w:t>APPROVAL OF FUNDS FOR KIWANIS CHRISTMAS DINNER FOR SARDINIA SENIORS</w:t>
      </w:r>
    </w:p>
    <w:p w:rsidR="003A472E" w:rsidRPr="00521F60" w:rsidRDefault="003A472E" w:rsidP="003A472E">
      <w:pPr>
        <w:ind w:left="720"/>
        <w:contextualSpacing/>
        <w:jc w:val="center"/>
        <w:rPr>
          <w:b/>
        </w:rPr>
      </w:pPr>
    </w:p>
    <w:p w:rsidR="003A472E" w:rsidRPr="00521F60" w:rsidRDefault="003A472E" w:rsidP="003A472E">
      <w:pPr>
        <w:ind w:firstLine="720"/>
        <w:contextualSpacing/>
        <w:rPr>
          <w:sz w:val="22"/>
          <w:szCs w:val="22"/>
        </w:rPr>
      </w:pPr>
      <w:r w:rsidRPr="00521F60">
        <w:rPr>
          <w:b/>
          <w:sz w:val="22"/>
          <w:szCs w:val="22"/>
        </w:rPr>
        <w:t xml:space="preserve">WHEREAS, </w:t>
      </w:r>
      <w:r w:rsidRPr="00521F60">
        <w:rPr>
          <w:sz w:val="22"/>
          <w:szCs w:val="22"/>
        </w:rPr>
        <w:t>the Sardinia Town Board has received a request for reimbursement for a dinner the Chaffee-Sardinia Kiwanis Club hosted for the Sardinia Seniors Christmas Dinner in the am</w:t>
      </w:r>
      <w:r>
        <w:rPr>
          <w:sz w:val="22"/>
          <w:szCs w:val="22"/>
        </w:rPr>
        <w:t>ount of $900</w:t>
      </w:r>
      <w:r w:rsidRPr="00521F60">
        <w:rPr>
          <w:sz w:val="22"/>
          <w:szCs w:val="22"/>
        </w:rPr>
        <w:t>.00, and</w:t>
      </w:r>
    </w:p>
    <w:p w:rsidR="003A472E" w:rsidRPr="00521F60" w:rsidRDefault="003A472E" w:rsidP="003A472E">
      <w:pPr>
        <w:ind w:firstLine="720"/>
        <w:contextualSpacing/>
        <w:rPr>
          <w:sz w:val="22"/>
          <w:szCs w:val="22"/>
        </w:rPr>
      </w:pPr>
      <w:r w:rsidRPr="00521F60">
        <w:rPr>
          <w:b/>
          <w:sz w:val="22"/>
          <w:szCs w:val="22"/>
        </w:rPr>
        <w:t xml:space="preserve">WHEREAS, </w:t>
      </w:r>
      <w:r w:rsidRPr="00521F60">
        <w:rPr>
          <w:sz w:val="22"/>
          <w:szCs w:val="22"/>
        </w:rPr>
        <w:t>the budget line for the Sardinia Seniors is more than adequate to cover this expense, and</w:t>
      </w:r>
    </w:p>
    <w:p w:rsidR="003A472E" w:rsidRPr="00521F60" w:rsidRDefault="003A472E" w:rsidP="003A472E">
      <w:pPr>
        <w:ind w:firstLine="720"/>
        <w:contextualSpacing/>
        <w:rPr>
          <w:sz w:val="22"/>
          <w:szCs w:val="22"/>
        </w:rPr>
      </w:pPr>
      <w:r w:rsidRPr="00521F60">
        <w:rPr>
          <w:b/>
          <w:sz w:val="22"/>
          <w:szCs w:val="22"/>
        </w:rPr>
        <w:t xml:space="preserve">NOW, THEREFORE, BE IT RESOLVED, </w:t>
      </w:r>
      <w:r w:rsidRPr="00521F60">
        <w:rPr>
          <w:sz w:val="22"/>
          <w:szCs w:val="22"/>
        </w:rPr>
        <w:t xml:space="preserve"> the Sardinia Town</w:t>
      </w:r>
      <w:r>
        <w:rPr>
          <w:sz w:val="22"/>
          <w:szCs w:val="22"/>
        </w:rPr>
        <w:t xml:space="preserve"> Board approves the amount of $900</w:t>
      </w:r>
      <w:r w:rsidRPr="00521F60">
        <w:rPr>
          <w:sz w:val="22"/>
          <w:szCs w:val="22"/>
        </w:rPr>
        <w:t>.00 to the Chaffee-Sardinia Kiwanis organization for reimbursement of the Sardinia Seniors Christmas Dinner, and,</w:t>
      </w:r>
    </w:p>
    <w:p w:rsidR="003A472E" w:rsidRPr="00521F60" w:rsidRDefault="003A472E" w:rsidP="003A472E">
      <w:pPr>
        <w:ind w:left="720"/>
        <w:contextualSpacing/>
        <w:rPr>
          <w:sz w:val="22"/>
          <w:szCs w:val="22"/>
        </w:rPr>
      </w:pPr>
    </w:p>
    <w:p w:rsidR="003A472E" w:rsidRPr="00521F60" w:rsidRDefault="003A472E" w:rsidP="003A472E">
      <w:pPr>
        <w:ind w:left="720"/>
        <w:contextualSpacing/>
        <w:rPr>
          <w:b/>
          <w:sz w:val="22"/>
          <w:szCs w:val="22"/>
        </w:rPr>
      </w:pPr>
      <w:r w:rsidRPr="00521F60">
        <w:rPr>
          <w:b/>
          <w:sz w:val="22"/>
          <w:szCs w:val="22"/>
        </w:rPr>
        <w:t>Be it so resolved,</w:t>
      </w:r>
    </w:p>
    <w:p w:rsidR="003A472E" w:rsidRPr="00521F60" w:rsidRDefault="003A472E" w:rsidP="003A472E">
      <w:pPr>
        <w:ind w:left="720"/>
        <w:contextualSpacing/>
      </w:pPr>
      <w:r w:rsidRPr="00521F60">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3A472E" w:rsidRPr="00521F60" w:rsidTr="00394372">
        <w:trPr>
          <w:trHeight w:val="284"/>
        </w:trPr>
        <w:tc>
          <w:tcPr>
            <w:tcW w:w="2544"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Motion:</w:t>
            </w:r>
          </w:p>
        </w:tc>
        <w:tc>
          <w:tcPr>
            <w:tcW w:w="3192"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Second:</w:t>
            </w:r>
          </w:p>
        </w:tc>
        <w:tc>
          <w:tcPr>
            <w:tcW w:w="3192"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Time:</w:t>
            </w:r>
          </w:p>
        </w:tc>
      </w:tr>
      <w:tr w:rsidR="003A472E" w:rsidRPr="00521F60" w:rsidTr="00394372">
        <w:trPr>
          <w:trHeight w:val="295"/>
        </w:trPr>
        <w:tc>
          <w:tcPr>
            <w:tcW w:w="2544"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Aye:</w:t>
            </w:r>
          </w:p>
        </w:tc>
        <w:tc>
          <w:tcPr>
            <w:tcW w:w="3192"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Nay:</w:t>
            </w:r>
          </w:p>
        </w:tc>
        <w:tc>
          <w:tcPr>
            <w:tcW w:w="3192" w:type="dxa"/>
            <w:tcBorders>
              <w:top w:val="single" w:sz="4" w:space="0" w:color="auto"/>
              <w:left w:val="single" w:sz="4" w:space="0" w:color="auto"/>
              <w:bottom w:val="single" w:sz="4" w:space="0" w:color="auto"/>
              <w:right w:val="single" w:sz="4" w:space="0" w:color="auto"/>
            </w:tcBorders>
            <w:hideMark/>
          </w:tcPr>
          <w:p w:rsidR="003A472E" w:rsidRPr="00521F60" w:rsidRDefault="003A472E" w:rsidP="00394372">
            <w:pPr>
              <w:ind w:left="1080"/>
              <w:rPr>
                <w:b/>
              </w:rPr>
            </w:pPr>
            <w:r w:rsidRPr="00521F60">
              <w:rPr>
                <w:b/>
              </w:rPr>
              <w:t>Abstain:</w:t>
            </w:r>
          </w:p>
        </w:tc>
      </w:tr>
    </w:tbl>
    <w:p w:rsidR="003A472E" w:rsidRDefault="003A472E" w:rsidP="003A472E">
      <w:pPr>
        <w:spacing w:after="160" w:line="252" w:lineRule="auto"/>
        <w:contextualSpacing/>
        <w:jc w:val="center"/>
        <w:outlineLvl w:val="9"/>
        <w:rPr>
          <w:rFonts w:eastAsiaTheme="minorHAnsi"/>
          <w:b/>
          <w:bCs/>
          <w:sz w:val="22"/>
          <w:szCs w:val="22"/>
        </w:rPr>
      </w:pPr>
    </w:p>
    <w:p w:rsidR="00B91272" w:rsidRDefault="00B91272"/>
    <w:p w:rsidR="00AE7136" w:rsidRDefault="00AE7136"/>
    <w:p w:rsidR="00AE7136" w:rsidRDefault="00AE7136"/>
    <w:p w:rsidR="00AE7136" w:rsidRDefault="00AE7136"/>
    <w:p w:rsidR="00AE7136" w:rsidRDefault="00AE7136" w:rsidP="00AE7136">
      <w:pPr>
        <w:jc w:val="center"/>
        <w:rPr>
          <w:b/>
          <w:sz w:val="22"/>
          <w:szCs w:val="22"/>
        </w:rPr>
      </w:pPr>
      <w:r>
        <w:rPr>
          <w:b/>
          <w:sz w:val="22"/>
          <w:szCs w:val="22"/>
        </w:rPr>
        <w:t>APPROVAL OF REQUEST TO REMAIN AN ACTIVE MEMBER OF CHAFFEE-SARDINIA FIRE COMPANY</w:t>
      </w:r>
    </w:p>
    <w:p w:rsidR="00AE7136" w:rsidRDefault="00AE7136" w:rsidP="00AE7136">
      <w:pPr>
        <w:jc w:val="center"/>
        <w:rPr>
          <w:b/>
          <w:sz w:val="22"/>
          <w:szCs w:val="22"/>
        </w:rPr>
      </w:pPr>
    </w:p>
    <w:p w:rsidR="00AE7136" w:rsidRDefault="00AE7136" w:rsidP="00AE7136">
      <w:pPr>
        <w:rPr>
          <w:sz w:val="22"/>
          <w:szCs w:val="22"/>
        </w:rPr>
      </w:pPr>
      <w:r>
        <w:rPr>
          <w:b/>
          <w:sz w:val="22"/>
          <w:szCs w:val="22"/>
        </w:rPr>
        <w:tab/>
        <w:t xml:space="preserve">WHEREAS, </w:t>
      </w:r>
      <w:r>
        <w:rPr>
          <w:sz w:val="22"/>
          <w:szCs w:val="22"/>
        </w:rPr>
        <w:t xml:space="preserve"> As per NY State Not-For-Profit Company Law Article 7, Section 1402(c)(3), Town Board approval is required for Fire Company members who reside outside of the Town of Sardinia, and</w:t>
      </w:r>
    </w:p>
    <w:p w:rsidR="00AE7136" w:rsidRDefault="00AE7136" w:rsidP="00AE7136">
      <w:pPr>
        <w:rPr>
          <w:sz w:val="22"/>
          <w:szCs w:val="22"/>
        </w:rPr>
      </w:pPr>
      <w:r>
        <w:rPr>
          <w:sz w:val="22"/>
          <w:szCs w:val="22"/>
        </w:rPr>
        <w:tab/>
      </w:r>
      <w:r>
        <w:rPr>
          <w:b/>
          <w:sz w:val="22"/>
          <w:szCs w:val="22"/>
        </w:rPr>
        <w:t xml:space="preserve">WHEREAS, </w:t>
      </w:r>
      <w:r>
        <w:rPr>
          <w:sz w:val="22"/>
          <w:szCs w:val="22"/>
        </w:rPr>
        <w:t>current member Mr. Brian J. Benstead recently moved and currently resides in the Town of Holland (8176 Olean Rd. Holland, NY)</w:t>
      </w:r>
      <w:proofErr w:type="gramStart"/>
      <w:r>
        <w:rPr>
          <w:sz w:val="22"/>
          <w:szCs w:val="22"/>
        </w:rPr>
        <w:t>.,</w:t>
      </w:r>
      <w:proofErr w:type="gramEnd"/>
      <w:r>
        <w:rPr>
          <w:sz w:val="22"/>
          <w:szCs w:val="22"/>
        </w:rPr>
        <w:t xml:space="preserve"> and</w:t>
      </w:r>
    </w:p>
    <w:p w:rsidR="00AE7136" w:rsidRDefault="00AE7136" w:rsidP="00AE7136">
      <w:pPr>
        <w:rPr>
          <w:sz w:val="22"/>
          <w:szCs w:val="22"/>
        </w:rPr>
      </w:pPr>
      <w:r>
        <w:rPr>
          <w:sz w:val="22"/>
          <w:szCs w:val="22"/>
        </w:rPr>
        <w:tab/>
      </w:r>
      <w:r>
        <w:rPr>
          <w:b/>
          <w:sz w:val="22"/>
          <w:szCs w:val="22"/>
        </w:rPr>
        <w:t xml:space="preserve">WHEREAS, </w:t>
      </w:r>
      <w:r>
        <w:rPr>
          <w:sz w:val="22"/>
          <w:szCs w:val="22"/>
        </w:rPr>
        <w:t xml:space="preserve">Mr. Benstead has been a member in good standing for over 21 years.  He is also a full time training instructor with the NY State Office of Fire Prevention and Control, and </w:t>
      </w:r>
    </w:p>
    <w:p w:rsidR="00AE7136" w:rsidRDefault="00AE7136" w:rsidP="00AE7136">
      <w:pPr>
        <w:rPr>
          <w:sz w:val="22"/>
          <w:szCs w:val="22"/>
        </w:rPr>
      </w:pPr>
      <w:r>
        <w:rPr>
          <w:sz w:val="22"/>
          <w:szCs w:val="22"/>
        </w:rPr>
        <w:tab/>
      </w:r>
      <w:r>
        <w:rPr>
          <w:b/>
          <w:sz w:val="22"/>
          <w:szCs w:val="22"/>
        </w:rPr>
        <w:t xml:space="preserve">WHERES, </w:t>
      </w:r>
      <w:r>
        <w:rPr>
          <w:sz w:val="22"/>
          <w:szCs w:val="22"/>
        </w:rPr>
        <w:t>the Chaffee-Sardinia Fire Company highly recommends and respectfully requests Town Board approval for Mr. Benstead to remain an active member.</w:t>
      </w:r>
    </w:p>
    <w:p w:rsidR="00AE7136" w:rsidRDefault="00AE7136" w:rsidP="00AE7136">
      <w:pPr>
        <w:rPr>
          <w:sz w:val="22"/>
          <w:szCs w:val="22"/>
        </w:rPr>
      </w:pPr>
      <w:r>
        <w:rPr>
          <w:sz w:val="22"/>
          <w:szCs w:val="22"/>
        </w:rPr>
        <w:tab/>
      </w:r>
      <w:r>
        <w:rPr>
          <w:b/>
          <w:sz w:val="22"/>
          <w:szCs w:val="22"/>
        </w:rPr>
        <w:t xml:space="preserve">NOW, THEREFORE, BE IT RESOLVED, </w:t>
      </w:r>
      <w:r>
        <w:rPr>
          <w:sz w:val="22"/>
          <w:szCs w:val="22"/>
        </w:rPr>
        <w:t>the Sardinia Town Board approves that Mr. Brian J. Benstead remain an active member of the Chaffee-Sardinia Fire Company</w:t>
      </w:r>
    </w:p>
    <w:p w:rsidR="00AE7136" w:rsidRDefault="00AE7136" w:rsidP="00AE7136">
      <w:pPr>
        <w:rPr>
          <w:sz w:val="22"/>
          <w:szCs w:val="22"/>
        </w:rPr>
      </w:pPr>
    </w:p>
    <w:p w:rsidR="00AE7136" w:rsidRPr="00521F60" w:rsidRDefault="00AE7136" w:rsidP="00AE7136">
      <w:pPr>
        <w:ind w:left="720"/>
        <w:contextualSpacing/>
        <w:rPr>
          <w:b/>
          <w:sz w:val="22"/>
          <w:szCs w:val="22"/>
        </w:rPr>
      </w:pPr>
      <w:r>
        <w:rPr>
          <w:sz w:val="22"/>
          <w:szCs w:val="22"/>
        </w:rPr>
        <w:tab/>
      </w:r>
      <w:r w:rsidRPr="00521F60">
        <w:rPr>
          <w:b/>
          <w:sz w:val="22"/>
          <w:szCs w:val="22"/>
        </w:rPr>
        <w:t>Be it so resolved,</w:t>
      </w:r>
    </w:p>
    <w:p w:rsidR="00AE7136" w:rsidRPr="00521F60" w:rsidRDefault="00AE7136" w:rsidP="00AE7136">
      <w:pPr>
        <w:ind w:left="720"/>
        <w:contextualSpacing/>
      </w:pPr>
      <w:r w:rsidRPr="00521F60">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AE7136" w:rsidRPr="00521F60" w:rsidTr="00394372">
        <w:trPr>
          <w:trHeight w:val="284"/>
        </w:trPr>
        <w:tc>
          <w:tcPr>
            <w:tcW w:w="2544"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Motion:</w:t>
            </w:r>
          </w:p>
        </w:tc>
        <w:tc>
          <w:tcPr>
            <w:tcW w:w="3192"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Second:</w:t>
            </w:r>
          </w:p>
        </w:tc>
        <w:tc>
          <w:tcPr>
            <w:tcW w:w="3192"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Time:</w:t>
            </w:r>
          </w:p>
        </w:tc>
      </w:tr>
      <w:tr w:rsidR="00AE7136" w:rsidRPr="00521F60" w:rsidTr="00394372">
        <w:trPr>
          <w:trHeight w:val="295"/>
        </w:trPr>
        <w:tc>
          <w:tcPr>
            <w:tcW w:w="2544"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Aye:</w:t>
            </w:r>
          </w:p>
        </w:tc>
        <w:tc>
          <w:tcPr>
            <w:tcW w:w="3192"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Nay:</w:t>
            </w:r>
          </w:p>
        </w:tc>
        <w:tc>
          <w:tcPr>
            <w:tcW w:w="3192" w:type="dxa"/>
            <w:tcBorders>
              <w:top w:val="single" w:sz="4" w:space="0" w:color="auto"/>
              <w:left w:val="single" w:sz="4" w:space="0" w:color="auto"/>
              <w:bottom w:val="single" w:sz="4" w:space="0" w:color="auto"/>
              <w:right w:val="single" w:sz="4" w:space="0" w:color="auto"/>
            </w:tcBorders>
            <w:hideMark/>
          </w:tcPr>
          <w:p w:rsidR="00AE7136" w:rsidRPr="00521F60" w:rsidRDefault="00AE7136" w:rsidP="00394372">
            <w:pPr>
              <w:ind w:left="1080"/>
              <w:rPr>
                <w:b/>
              </w:rPr>
            </w:pPr>
            <w:r w:rsidRPr="00521F60">
              <w:rPr>
                <w:b/>
              </w:rPr>
              <w:t>Abstain:</w:t>
            </w:r>
          </w:p>
        </w:tc>
      </w:tr>
    </w:tbl>
    <w:p w:rsidR="00AE7136" w:rsidRDefault="00AE7136" w:rsidP="00AE7136"/>
    <w:p w:rsidR="004B3165" w:rsidRDefault="004B3165" w:rsidP="004B3165">
      <w:pPr>
        <w:jc w:val="center"/>
        <w:rPr>
          <w:b/>
          <w:sz w:val="22"/>
          <w:szCs w:val="22"/>
        </w:rPr>
      </w:pPr>
      <w:r>
        <w:rPr>
          <w:b/>
          <w:sz w:val="22"/>
          <w:szCs w:val="22"/>
        </w:rPr>
        <w:lastRenderedPageBreak/>
        <w:t>RESOLUTION ESTABLISHING THE HIGHWAY DEPARTMENT VEHICLE AND EQUIPMENT REPLACEMENT RESERVE FUND OF THE TOWN OF SARDINIA UNDER SECTION 6-C OF THE GENERAL MUNICIPAL LAW</w:t>
      </w:r>
    </w:p>
    <w:p w:rsidR="004B3165" w:rsidRDefault="004B3165" w:rsidP="004B3165">
      <w:pPr>
        <w:jc w:val="center"/>
        <w:rPr>
          <w:b/>
          <w:sz w:val="22"/>
          <w:szCs w:val="22"/>
        </w:rPr>
      </w:pPr>
    </w:p>
    <w:p w:rsidR="004B3165" w:rsidRDefault="00FE3323" w:rsidP="004B3165">
      <w:pPr>
        <w:rPr>
          <w:sz w:val="22"/>
          <w:szCs w:val="22"/>
        </w:rPr>
      </w:pPr>
      <w:r>
        <w:rPr>
          <w:b/>
          <w:sz w:val="22"/>
          <w:szCs w:val="22"/>
        </w:rPr>
        <w:tab/>
        <w:t>WHEREAS,</w:t>
      </w:r>
      <w:r w:rsidR="004B3165">
        <w:rPr>
          <w:sz w:val="22"/>
          <w:szCs w:val="22"/>
        </w:rPr>
        <w:t xml:space="preserve"> the town Board of the town of Sardinia desires to establish a capital reserve fund for the replacement of highway department vehicles and equipment owned by the Town of Sardinia.</w:t>
      </w:r>
    </w:p>
    <w:p w:rsidR="004B3165" w:rsidRDefault="004B3165" w:rsidP="004B3165">
      <w:pPr>
        <w:rPr>
          <w:sz w:val="22"/>
          <w:szCs w:val="22"/>
        </w:rPr>
      </w:pPr>
    </w:p>
    <w:p w:rsidR="004B3165" w:rsidRDefault="004B3165" w:rsidP="004B3165">
      <w:pPr>
        <w:rPr>
          <w:b/>
          <w:sz w:val="22"/>
          <w:szCs w:val="22"/>
        </w:rPr>
      </w:pPr>
      <w:r>
        <w:rPr>
          <w:sz w:val="22"/>
          <w:szCs w:val="22"/>
        </w:rPr>
        <w:tab/>
      </w:r>
      <w:r>
        <w:rPr>
          <w:b/>
          <w:sz w:val="22"/>
          <w:szCs w:val="22"/>
        </w:rPr>
        <w:t>NOW, THEREFORE, BE IT RESOLVED BY THE TOWN BOARD OF THE TOWN OF SARDINIA, AS FOLLOWS:</w:t>
      </w:r>
    </w:p>
    <w:p w:rsidR="004B3165" w:rsidRDefault="004B3165" w:rsidP="004B3165">
      <w:pPr>
        <w:ind w:left="2160" w:hanging="1440"/>
        <w:rPr>
          <w:sz w:val="22"/>
          <w:szCs w:val="22"/>
        </w:rPr>
      </w:pPr>
      <w:r>
        <w:rPr>
          <w:b/>
          <w:sz w:val="22"/>
          <w:szCs w:val="22"/>
        </w:rPr>
        <w:t>SECTION 1.</w:t>
      </w:r>
      <w:r>
        <w:rPr>
          <w:b/>
          <w:sz w:val="22"/>
          <w:szCs w:val="22"/>
        </w:rPr>
        <w:tab/>
      </w:r>
      <w:r>
        <w:rPr>
          <w:sz w:val="22"/>
          <w:szCs w:val="22"/>
        </w:rPr>
        <w:t>There be and hereby is established a capital reserve fund in the original amount of $________________ for the future acquisition of Highway Department replacement vehicles and equipment owned by the town of Sardinia.</w:t>
      </w:r>
    </w:p>
    <w:p w:rsidR="004B3165" w:rsidRDefault="004B3165" w:rsidP="004B3165">
      <w:pPr>
        <w:ind w:left="2160" w:hanging="1440"/>
        <w:rPr>
          <w:sz w:val="22"/>
          <w:szCs w:val="22"/>
        </w:rPr>
      </w:pPr>
      <w:r>
        <w:rPr>
          <w:b/>
          <w:sz w:val="22"/>
          <w:szCs w:val="22"/>
        </w:rPr>
        <w:t>SECTION 2.</w:t>
      </w:r>
      <w:r>
        <w:rPr>
          <w:b/>
          <w:sz w:val="22"/>
          <w:szCs w:val="22"/>
        </w:rPr>
        <w:tab/>
      </w:r>
      <w:r>
        <w:rPr>
          <w:sz w:val="22"/>
          <w:szCs w:val="22"/>
        </w:rPr>
        <w:t>Such fund is to be known as the “Highway Department Vehicle and Equipment Replacement Reserve Fund of the Town of Sardinia”.</w:t>
      </w:r>
    </w:p>
    <w:p w:rsidR="004B3165" w:rsidRDefault="004B3165" w:rsidP="004B3165">
      <w:pPr>
        <w:ind w:left="2160" w:hanging="1440"/>
        <w:rPr>
          <w:sz w:val="22"/>
          <w:szCs w:val="22"/>
        </w:rPr>
      </w:pPr>
      <w:r>
        <w:rPr>
          <w:b/>
          <w:sz w:val="22"/>
          <w:szCs w:val="22"/>
        </w:rPr>
        <w:t>SECTION 3.</w:t>
      </w:r>
      <w:r>
        <w:rPr>
          <w:sz w:val="22"/>
          <w:szCs w:val="22"/>
        </w:rPr>
        <w:tab/>
        <w:t>The estimated maximum cost of said acquisitions will be determined from time to time by action of the Town Board.</w:t>
      </w:r>
    </w:p>
    <w:p w:rsidR="004B3165" w:rsidRDefault="004B3165" w:rsidP="004B3165">
      <w:pPr>
        <w:ind w:left="2160" w:hanging="1440"/>
        <w:rPr>
          <w:sz w:val="22"/>
          <w:szCs w:val="22"/>
        </w:rPr>
      </w:pPr>
      <w:r>
        <w:rPr>
          <w:b/>
          <w:sz w:val="22"/>
          <w:szCs w:val="22"/>
        </w:rPr>
        <w:t>SECTION 4.</w:t>
      </w:r>
      <w:r>
        <w:rPr>
          <w:sz w:val="22"/>
          <w:szCs w:val="22"/>
        </w:rPr>
        <w:tab/>
        <w:t>That out of the surplus monies of the Town now on hand for the year 2017 and not otherwise appropriated, the sum of $_____________ be and the same hereby is appropriated for the “Highway Department Vehicle and Equipment Replacement Reserve Fund of the Town of Sardinia” and the Supervisor of the Town is hereby authorized, empowered and directed to transfer from surplus funds of the Town the sum of $_______________ to the fund.</w:t>
      </w:r>
    </w:p>
    <w:p w:rsidR="004B3165" w:rsidRDefault="004B3165" w:rsidP="004B3165">
      <w:pPr>
        <w:ind w:left="2160" w:hanging="1440"/>
        <w:rPr>
          <w:sz w:val="22"/>
          <w:szCs w:val="22"/>
        </w:rPr>
      </w:pPr>
      <w:r>
        <w:rPr>
          <w:b/>
          <w:sz w:val="22"/>
          <w:szCs w:val="22"/>
        </w:rPr>
        <w:t>SECTION 5.</w:t>
      </w:r>
      <w:r>
        <w:rPr>
          <w:sz w:val="22"/>
          <w:szCs w:val="22"/>
        </w:rPr>
        <w:tab/>
        <w:t>Such additional sums as may hereafter be appropriated shall become part of the fund.</w:t>
      </w:r>
    </w:p>
    <w:p w:rsidR="004B3165" w:rsidRDefault="004B3165" w:rsidP="004B3165">
      <w:pPr>
        <w:ind w:left="2160" w:hanging="1440"/>
        <w:rPr>
          <w:sz w:val="22"/>
          <w:szCs w:val="22"/>
        </w:rPr>
      </w:pPr>
      <w:r>
        <w:rPr>
          <w:b/>
          <w:sz w:val="22"/>
          <w:szCs w:val="22"/>
        </w:rPr>
        <w:t>SECTION 6.</w:t>
      </w:r>
      <w:r>
        <w:rPr>
          <w:sz w:val="22"/>
          <w:szCs w:val="22"/>
        </w:rPr>
        <w:tab/>
        <w:t xml:space="preserve">The monies </w:t>
      </w:r>
      <w:r w:rsidR="0024231F">
        <w:rPr>
          <w:sz w:val="22"/>
          <w:szCs w:val="22"/>
        </w:rPr>
        <w:t>in the fund shall be deposited in a separate bank account at Community Bank.</w:t>
      </w:r>
    </w:p>
    <w:p w:rsidR="0024231F" w:rsidRDefault="0024231F" w:rsidP="004B3165">
      <w:pPr>
        <w:ind w:left="2160" w:hanging="1440"/>
        <w:rPr>
          <w:sz w:val="22"/>
          <w:szCs w:val="22"/>
        </w:rPr>
      </w:pPr>
      <w:r>
        <w:rPr>
          <w:b/>
          <w:sz w:val="22"/>
          <w:szCs w:val="22"/>
        </w:rPr>
        <w:t>SECTION 7.</w:t>
      </w:r>
      <w:r>
        <w:rPr>
          <w:sz w:val="22"/>
          <w:szCs w:val="22"/>
        </w:rPr>
        <w:tab/>
      </w:r>
      <w:r w:rsidR="00A573A6">
        <w:rPr>
          <w:sz w:val="22"/>
          <w:szCs w:val="22"/>
        </w:rPr>
        <w:t>The Supervisor, in her discretion, may invest the monies in the fund in the manner provided in section 11 of the General Municipal Law of the State of New York.  Any interest earned or capital gains realized on the monies so deposited or invested shall accrue to and become part of the fund.</w:t>
      </w:r>
    </w:p>
    <w:p w:rsidR="00A573A6" w:rsidRDefault="00FE3323" w:rsidP="004B3165">
      <w:pPr>
        <w:ind w:left="2160" w:hanging="1440"/>
        <w:rPr>
          <w:sz w:val="22"/>
          <w:szCs w:val="22"/>
        </w:rPr>
      </w:pPr>
      <w:r>
        <w:rPr>
          <w:b/>
          <w:sz w:val="22"/>
          <w:szCs w:val="22"/>
        </w:rPr>
        <w:t>SECTION 8.</w:t>
      </w:r>
      <w:r>
        <w:rPr>
          <w:sz w:val="22"/>
          <w:szCs w:val="22"/>
        </w:rPr>
        <w:tab/>
        <w:t>No expenditure shall be made from this fund except by authorization of the Town Board of the Town of Sardinia pursuant to the provisions of Section 6-C of the General Municipal Law of the State of New York.</w:t>
      </w:r>
    </w:p>
    <w:p w:rsidR="00FE3323" w:rsidRDefault="00FE3323" w:rsidP="004B3165">
      <w:pPr>
        <w:ind w:left="2160" w:hanging="1440"/>
        <w:rPr>
          <w:sz w:val="22"/>
          <w:szCs w:val="22"/>
        </w:rPr>
      </w:pPr>
      <w:r>
        <w:rPr>
          <w:b/>
          <w:sz w:val="22"/>
          <w:szCs w:val="22"/>
        </w:rPr>
        <w:t>SECTION 9.</w:t>
      </w:r>
      <w:r>
        <w:rPr>
          <w:sz w:val="22"/>
          <w:szCs w:val="22"/>
        </w:rPr>
        <w:tab/>
        <w:t>This Resolution shall take effect immediately.</w:t>
      </w:r>
    </w:p>
    <w:p w:rsidR="00FE3323" w:rsidRDefault="00FE3323" w:rsidP="004B3165">
      <w:pPr>
        <w:ind w:left="2160" w:hanging="1440"/>
        <w:rPr>
          <w:sz w:val="22"/>
          <w:szCs w:val="22"/>
        </w:rPr>
      </w:pPr>
    </w:p>
    <w:p w:rsidR="00FE3323" w:rsidRDefault="00FE3323" w:rsidP="004B3165">
      <w:pPr>
        <w:ind w:left="2160" w:hanging="1440"/>
        <w:rPr>
          <w:sz w:val="22"/>
          <w:szCs w:val="22"/>
        </w:rPr>
      </w:pPr>
      <w:r>
        <w:rPr>
          <w:sz w:val="22"/>
          <w:szCs w:val="22"/>
        </w:rPr>
        <w:tab/>
      </w:r>
    </w:p>
    <w:p w:rsidR="00FE3323" w:rsidRPr="00521F60" w:rsidRDefault="00FE3323" w:rsidP="00FE3323">
      <w:pPr>
        <w:ind w:left="720"/>
        <w:contextualSpacing/>
        <w:rPr>
          <w:b/>
          <w:sz w:val="22"/>
          <w:szCs w:val="22"/>
        </w:rPr>
      </w:pPr>
      <w:r w:rsidRPr="00521F60">
        <w:rPr>
          <w:b/>
          <w:sz w:val="22"/>
          <w:szCs w:val="22"/>
        </w:rPr>
        <w:t>Be it so resolved,</w:t>
      </w:r>
    </w:p>
    <w:p w:rsidR="00FE3323" w:rsidRPr="00521F60" w:rsidRDefault="00FE3323" w:rsidP="00FE3323">
      <w:pPr>
        <w:ind w:left="720"/>
        <w:contextualSpacing/>
      </w:pPr>
      <w:r w:rsidRPr="00521F60">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FE3323" w:rsidRPr="00521F60" w:rsidTr="00154383">
        <w:trPr>
          <w:trHeight w:val="284"/>
        </w:trPr>
        <w:tc>
          <w:tcPr>
            <w:tcW w:w="2506"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Motion:</w:t>
            </w:r>
          </w:p>
        </w:tc>
        <w:tc>
          <w:tcPr>
            <w:tcW w:w="3095"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Second:</w:t>
            </w:r>
          </w:p>
        </w:tc>
        <w:tc>
          <w:tcPr>
            <w:tcW w:w="3101"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Time:</w:t>
            </w:r>
          </w:p>
        </w:tc>
      </w:tr>
      <w:tr w:rsidR="00FE3323" w:rsidRPr="00521F60" w:rsidTr="00154383">
        <w:trPr>
          <w:trHeight w:val="295"/>
        </w:trPr>
        <w:tc>
          <w:tcPr>
            <w:tcW w:w="2506"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Aye:</w:t>
            </w:r>
          </w:p>
        </w:tc>
        <w:tc>
          <w:tcPr>
            <w:tcW w:w="3095"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Nay:</w:t>
            </w:r>
          </w:p>
        </w:tc>
        <w:tc>
          <w:tcPr>
            <w:tcW w:w="3101" w:type="dxa"/>
            <w:tcBorders>
              <w:top w:val="single" w:sz="4" w:space="0" w:color="auto"/>
              <w:left w:val="single" w:sz="4" w:space="0" w:color="auto"/>
              <w:bottom w:val="single" w:sz="4" w:space="0" w:color="auto"/>
              <w:right w:val="single" w:sz="4" w:space="0" w:color="auto"/>
            </w:tcBorders>
            <w:hideMark/>
          </w:tcPr>
          <w:p w:rsidR="00FE3323" w:rsidRPr="00521F60" w:rsidRDefault="00FE3323" w:rsidP="0050202C">
            <w:pPr>
              <w:ind w:left="1080"/>
              <w:rPr>
                <w:b/>
              </w:rPr>
            </w:pPr>
            <w:r w:rsidRPr="00521F60">
              <w:rPr>
                <w:b/>
              </w:rPr>
              <w:t>Abstain:</w:t>
            </w:r>
          </w:p>
        </w:tc>
      </w:tr>
    </w:tbl>
    <w:p w:rsidR="00154383" w:rsidRDefault="00154383" w:rsidP="00154383">
      <w:pPr>
        <w:rPr>
          <w:b/>
          <w:color w:val="FF0000"/>
          <w:sz w:val="22"/>
          <w:szCs w:val="22"/>
        </w:rPr>
      </w:pPr>
    </w:p>
    <w:p w:rsidR="00154383" w:rsidRDefault="00154383" w:rsidP="00154383">
      <w:pPr>
        <w:rPr>
          <w:b/>
          <w:color w:val="FF0000"/>
          <w:sz w:val="22"/>
          <w:szCs w:val="22"/>
        </w:rPr>
      </w:pPr>
    </w:p>
    <w:p w:rsidR="00154383" w:rsidRDefault="00154383" w:rsidP="00154383">
      <w:pPr>
        <w:rPr>
          <w:b/>
          <w:color w:val="FF0000"/>
          <w:sz w:val="22"/>
          <w:szCs w:val="22"/>
        </w:rPr>
      </w:pPr>
      <w:r>
        <w:rPr>
          <w:b/>
          <w:color w:val="FF0000"/>
          <w:sz w:val="22"/>
          <w:szCs w:val="22"/>
        </w:rPr>
        <w:t xml:space="preserve">NEW BUSINESS </w:t>
      </w:r>
      <w:r w:rsidRPr="00154383">
        <w:rPr>
          <w:b/>
          <w:sz w:val="22"/>
          <w:szCs w:val="22"/>
        </w:rPr>
        <w:t>– Key Policy</w:t>
      </w:r>
    </w:p>
    <w:p w:rsidR="00154383" w:rsidRDefault="00154383" w:rsidP="00154383">
      <w:pPr>
        <w:rPr>
          <w:b/>
          <w:color w:val="C00000"/>
          <w:sz w:val="22"/>
          <w:szCs w:val="22"/>
        </w:rPr>
      </w:pPr>
    </w:p>
    <w:p w:rsidR="00154383" w:rsidRDefault="00154383" w:rsidP="00154383">
      <w:pPr>
        <w:rPr>
          <w:b/>
          <w:sz w:val="22"/>
          <w:szCs w:val="22"/>
        </w:rPr>
      </w:pPr>
    </w:p>
    <w:p w:rsidR="00154383" w:rsidRDefault="00154383" w:rsidP="00154383">
      <w:pPr>
        <w:rPr>
          <w:b/>
          <w:sz w:val="22"/>
          <w:szCs w:val="22"/>
        </w:rPr>
      </w:pPr>
      <w:r>
        <w:rPr>
          <w:b/>
          <w:sz w:val="22"/>
          <w:szCs w:val="22"/>
        </w:rPr>
        <w:t>EXECUTIVE SESSION (if necessary)</w:t>
      </w:r>
    </w:p>
    <w:p w:rsidR="00154383" w:rsidRDefault="00154383" w:rsidP="00154383">
      <w:pPr>
        <w:rPr>
          <w:b/>
          <w:color w:val="FF0000"/>
          <w:sz w:val="22"/>
          <w:szCs w:val="22"/>
        </w:rPr>
      </w:pPr>
      <w:r>
        <w:rPr>
          <w:b/>
          <w:color w:val="FF0000"/>
          <w:sz w:val="22"/>
          <w:szCs w:val="22"/>
        </w:rPr>
        <w:t>ADJOURNMENT</w:t>
      </w:r>
    </w:p>
    <w:p w:rsidR="00FE3323" w:rsidRDefault="00FE3323" w:rsidP="004B3165">
      <w:pPr>
        <w:ind w:left="2160" w:hanging="1440"/>
        <w:rPr>
          <w:sz w:val="22"/>
          <w:szCs w:val="22"/>
        </w:rPr>
      </w:pPr>
    </w:p>
    <w:p w:rsidR="00154383" w:rsidRPr="004B3165" w:rsidRDefault="00154383" w:rsidP="004B3165">
      <w:pPr>
        <w:ind w:left="2160" w:hanging="1440"/>
        <w:rPr>
          <w:sz w:val="22"/>
          <w:szCs w:val="22"/>
        </w:rPr>
      </w:pPr>
    </w:p>
    <w:sectPr w:rsidR="00154383" w:rsidRPr="004B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04"/>
    <w:rsid w:val="00054F23"/>
    <w:rsid w:val="00154383"/>
    <w:rsid w:val="0024231F"/>
    <w:rsid w:val="003A472E"/>
    <w:rsid w:val="004B3165"/>
    <w:rsid w:val="006A387F"/>
    <w:rsid w:val="00706483"/>
    <w:rsid w:val="00A403E8"/>
    <w:rsid w:val="00A573A6"/>
    <w:rsid w:val="00AA2A2F"/>
    <w:rsid w:val="00AE7136"/>
    <w:rsid w:val="00B31804"/>
    <w:rsid w:val="00B91272"/>
    <w:rsid w:val="00FE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9B3EB-09E2-4746-AC3A-9821BC93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04"/>
    <w:pP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dcterms:created xsi:type="dcterms:W3CDTF">2017-12-11T18:51:00Z</dcterms:created>
  <dcterms:modified xsi:type="dcterms:W3CDTF">2017-12-11T18:51:00Z</dcterms:modified>
</cp:coreProperties>
</file>